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C27" w:rsidRPr="007F6B57" w:rsidRDefault="00576C27" w:rsidP="00576C27">
      <w:pPr>
        <w:rPr>
          <w:rFonts w:ascii="Arial" w:hAnsi="Arial" w:cs="Arial"/>
          <w:b/>
          <w:sz w:val="24"/>
          <w:lang w:val="de-DE"/>
        </w:rPr>
      </w:pPr>
      <w:r w:rsidRPr="00576C27">
        <w:rPr>
          <w:rFonts w:ascii="Arial" w:hAnsi="Arial" w:cs="Arial"/>
          <w:b/>
          <w:sz w:val="24"/>
          <w:lang w:val="de-DE"/>
        </w:rPr>
        <w:t>T6-PLAN MITTENANSCHLUSSHEIZKÖRPER</w:t>
      </w:r>
    </w:p>
    <w:p w:rsidR="00576C27" w:rsidRPr="00576C27" w:rsidRDefault="00576C27" w:rsidP="00576C27">
      <w:pPr>
        <w:rPr>
          <w:rFonts w:ascii="Arial" w:hAnsi="Arial" w:cs="Arial"/>
          <w:b/>
          <w:sz w:val="24"/>
          <w:lang w:val="de-DE"/>
        </w:rPr>
      </w:pPr>
      <w:r w:rsidRPr="00576C27">
        <w:rPr>
          <w:rFonts w:ascii="Arial" w:hAnsi="Arial" w:cs="Arial"/>
          <w:b/>
          <w:sz w:val="24"/>
          <w:lang w:val="de-DE"/>
        </w:rPr>
        <w:t>Material &amp; Oberfläche</w:t>
      </w:r>
    </w:p>
    <w:p w:rsidR="00576C27" w:rsidRPr="00576C27" w:rsidRDefault="00576C27" w:rsidP="00576C27">
      <w:pPr>
        <w:rPr>
          <w:rFonts w:ascii="Arial" w:hAnsi="Arial" w:cs="Arial"/>
          <w:sz w:val="24"/>
          <w:lang w:val="de-DE"/>
        </w:rPr>
      </w:pPr>
      <w:r w:rsidRPr="00576C27">
        <w:rPr>
          <w:rFonts w:ascii="Arial" w:hAnsi="Arial" w:cs="Arial"/>
          <w:sz w:val="24"/>
          <w:lang w:val="de-DE"/>
        </w:rPr>
        <w:t xml:space="preserve">Mittenanschlussheizkörper aus kaltgewalztem Stahlblech nach EN 442-1, verzinkter Frontplatte mit 1 mm Stärke, Grundbeschichtung bei 190 °C eingebrannt, fertig lackiert mit einer elektrostatischen Pulverbeschichtung nach DIN 55900 Teil 2, in RAL 9016, </w:t>
      </w:r>
      <w:proofErr w:type="spellStart"/>
      <w:r w:rsidRPr="00576C27">
        <w:rPr>
          <w:rFonts w:ascii="Arial" w:hAnsi="Arial" w:cs="Arial"/>
          <w:sz w:val="24"/>
          <w:lang w:val="de-DE"/>
        </w:rPr>
        <w:t>Einbrennung</w:t>
      </w:r>
      <w:proofErr w:type="spellEnd"/>
      <w:r w:rsidRPr="00576C27">
        <w:rPr>
          <w:rFonts w:ascii="Arial" w:hAnsi="Arial" w:cs="Arial"/>
          <w:sz w:val="24"/>
          <w:lang w:val="de-DE"/>
        </w:rPr>
        <w:t xml:space="preserve"> bei 210 °C Objekttemperatur.</w:t>
      </w:r>
    </w:p>
    <w:p w:rsidR="00576C27" w:rsidRPr="00576C27" w:rsidRDefault="00576C27" w:rsidP="00576C27">
      <w:pPr>
        <w:rPr>
          <w:rFonts w:ascii="Arial" w:hAnsi="Arial" w:cs="Arial"/>
          <w:sz w:val="24"/>
          <w:lang w:val="de-DE"/>
        </w:rPr>
      </w:pPr>
    </w:p>
    <w:p w:rsidR="00576C27" w:rsidRPr="00576C27" w:rsidRDefault="00576C27" w:rsidP="00576C27">
      <w:pPr>
        <w:rPr>
          <w:rFonts w:ascii="Arial" w:hAnsi="Arial" w:cs="Arial"/>
          <w:b/>
          <w:sz w:val="24"/>
          <w:lang w:val="de-DE"/>
        </w:rPr>
      </w:pPr>
      <w:r w:rsidRPr="00576C27">
        <w:rPr>
          <w:rFonts w:ascii="Arial" w:hAnsi="Arial" w:cs="Arial"/>
          <w:b/>
          <w:sz w:val="24"/>
          <w:lang w:val="de-DE"/>
        </w:rPr>
        <w:t>Ausstattung</w:t>
      </w:r>
      <w:bookmarkStart w:id="0" w:name="_GoBack"/>
      <w:bookmarkEnd w:id="0"/>
    </w:p>
    <w:p w:rsidR="00576C27" w:rsidRPr="00576C27" w:rsidRDefault="00576C27" w:rsidP="00576C27">
      <w:pPr>
        <w:rPr>
          <w:rFonts w:ascii="Arial" w:hAnsi="Arial" w:cs="Arial"/>
          <w:sz w:val="24"/>
          <w:lang w:val="de-DE"/>
        </w:rPr>
      </w:pPr>
      <w:r w:rsidRPr="00576C27">
        <w:rPr>
          <w:rFonts w:ascii="Arial" w:hAnsi="Arial" w:cs="Arial"/>
          <w:sz w:val="24"/>
          <w:lang w:val="de-DE"/>
        </w:rPr>
        <w:t xml:space="preserve">Ausgestattet mit fix eingebauter T-förmiger Ventilgarnitur, geeignet für Zweirohr- und Einrohranlagen unter Verwendung eines Einrohrverteilers, </w:t>
      </w:r>
      <w:proofErr w:type="spellStart"/>
      <w:r w:rsidRPr="00576C27">
        <w:rPr>
          <w:rFonts w:ascii="Arial" w:hAnsi="Arial" w:cs="Arial"/>
          <w:sz w:val="24"/>
          <w:lang w:val="de-DE"/>
        </w:rPr>
        <w:t>kv</w:t>
      </w:r>
      <w:proofErr w:type="spellEnd"/>
      <w:r w:rsidRPr="00576C27">
        <w:rPr>
          <w:rFonts w:ascii="Arial" w:hAnsi="Arial" w:cs="Arial"/>
          <w:sz w:val="24"/>
          <w:lang w:val="de-DE"/>
        </w:rPr>
        <w:t>-Wert des werkseitig montierten Einbauventiles ist voreingestellt und auf die Wärmeleistung abgestimmt, wobei bedarfsgerechte Anpassungen im Bereich von 0,13 bis 0,72 möglich sind. Einstellung</w:t>
      </w:r>
      <w:r w:rsidR="007F6B57">
        <w:rPr>
          <w:rFonts w:ascii="Arial" w:hAnsi="Arial" w:cs="Arial"/>
          <w:sz w:val="24"/>
          <w:lang w:val="de-DE"/>
        </w:rPr>
        <w:t xml:space="preserve"> </w:t>
      </w:r>
      <w:r w:rsidRPr="00576C27">
        <w:rPr>
          <w:rFonts w:ascii="Arial" w:hAnsi="Arial" w:cs="Arial"/>
          <w:sz w:val="24"/>
          <w:lang w:val="de-DE"/>
        </w:rPr>
        <w:t xml:space="preserve">des Heizkörperanteiles bei Einrohranlagen von 30 % bis 50 %. Ausgestattet mit Baustellenschutzkappe für das Einbauventil, rückseitig angeschweißten </w:t>
      </w:r>
      <w:proofErr w:type="spellStart"/>
      <w:r w:rsidRPr="00576C27">
        <w:rPr>
          <w:rFonts w:ascii="Arial" w:hAnsi="Arial" w:cs="Arial"/>
          <w:sz w:val="24"/>
          <w:lang w:val="de-DE"/>
        </w:rPr>
        <w:t>Aufhängelaschen</w:t>
      </w:r>
      <w:proofErr w:type="spellEnd"/>
      <w:r w:rsidRPr="00576C27">
        <w:rPr>
          <w:rFonts w:ascii="Arial" w:hAnsi="Arial" w:cs="Arial"/>
          <w:sz w:val="24"/>
          <w:lang w:val="de-DE"/>
        </w:rPr>
        <w:t xml:space="preserve">, einer abnehmbaren, oberen Abdeckung und zwei geschlossenen Seitenteilen bei allen Typen, </w:t>
      </w:r>
      <w:proofErr w:type="spellStart"/>
      <w:r w:rsidRPr="00576C27">
        <w:rPr>
          <w:rFonts w:ascii="Arial" w:hAnsi="Arial" w:cs="Arial"/>
          <w:sz w:val="24"/>
          <w:lang w:val="de-DE"/>
        </w:rPr>
        <w:t>verdrehbarer</w:t>
      </w:r>
      <w:proofErr w:type="spellEnd"/>
      <w:r w:rsidRPr="00576C27">
        <w:rPr>
          <w:rFonts w:ascii="Arial" w:hAnsi="Arial" w:cs="Arial"/>
          <w:sz w:val="24"/>
          <w:lang w:val="de-DE"/>
        </w:rPr>
        <w:t xml:space="preserve"> Spezialentlüftungs- und Blindstopfen eingedichtet;</w:t>
      </w:r>
      <w:r w:rsidR="007F6B57">
        <w:rPr>
          <w:rFonts w:ascii="Arial" w:hAnsi="Arial" w:cs="Arial"/>
          <w:sz w:val="24"/>
          <w:lang w:val="de-DE"/>
        </w:rPr>
        <w:t xml:space="preserve"> </w:t>
      </w:r>
      <w:r w:rsidRPr="00576C27">
        <w:rPr>
          <w:rFonts w:ascii="Arial" w:hAnsi="Arial" w:cs="Arial"/>
          <w:sz w:val="24"/>
          <w:lang w:val="de-DE"/>
        </w:rPr>
        <w:t>das Abdecksystem entspricht den ehemaligen BAGUV-Richtlinien.</w:t>
      </w:r>
    </w:p>
    <w:p w:rsidR="00576C27" w:rsidRPr="00576C27" w:rsidRDefault="00576C27" w:rsidP="00576C27">
      <w:pPr>
        <w:rPr>
          <w:rFonts w:ascii="Arial" w:hAnsi="Arial" w:cs="Arial"/>
          <w:sz w:val="24"/>
          <w:lang w:val="de-DE"/>
        </w:rPr>
      </w:pPr>
    </w:p>
    <w:p w:rsidR="00576C27" w:rsidRPr="00576C27" w:rsidRDefault="00576C27" w:rsidP="00576C27">
      <w:pPr>
        <w:rPr>
          <w:rFonts w:ascii="Arial" w:hAnsi="Arial" w:cs="Arial"/>
          <w:b/>
          <w:sz w:val="24"/>
          <w:lang w:val="de-DE"/>
        </w:rPr>
      </w:pPr>
      <w:r w:rsidRPr="00576C27">
        <w:rPr>
          <w:rFonts w:ascii="Arial" w:hAnsi="Arial" w:cs="Arial"/>
          <w:b/>
          <w:sz w:val="24"/>
          <w:lang w:val="de-DE"/>
        </w:rPr>
        <w:t>Montage</w:t>
      </w:r>
    </w:p>
    <w:p w:rsidR="00576C27" w:rsidRDefault="00576C27" w:rsidP="00576C27">
      <w:pPr>
        <w:rPr>
          <w:rFonts w:ascii="Arial" w:hAnsi="Arial" w:cs="Arial"/>
          <w:sz w:val="24"/>
          <w:lang w:val="de-DE"/>
        </w:rPr>
      </w:pPr>
      <w:r w:rsidRPr="00576C27">
        <w:rPr>
          <w:rFonts w:ascii="Arial" w:hAnsi="Arial" w:cs="Arial"/>
          <w:sz w:val="24"/>
          <w:lang w:val="de-DE"/>
        </w:rPr>
        <w:t>Komplette Vorinstallationsmöglichkeit durch die Montageschablone 3/4“ A.G., Spülung und Dichtprüfung der Anlage mittels Spülbogen (Zubehör), alternativ auch als Kompaktheizkörper einseitig oder wechselseitig anschließbar; einheitlicher Wandabstand bei allen mehrlagigen Heizkörpern (mit Spezialwinkellasche auch bei einlagigen Heizkörpern). Leistungsgeprüft nach DIN EN 442 bzw. ÖNORM EN 442 und permanent fertigungsüberwacht nach EN-ISO 9001; dreifach verpackt (Kartonage, Kantenschutz, Schrumpffolie).</w:t>
      </w:r>
    </w:p>
    <w:p w:rsidR="007F6B57" w:rsidRPr="00576C27" w:rsidRDefault="007F6B57" w:rsidP="00576C27">
      <w:pPr>
        <w:rPr>
          <w:rFonts w:ascii="Arial" w:hAnsi="Arial" w:cs="Arial"/>
          <w:sz w:val="24"/>
          <w:lang w:val="de-DE"/>
        </w:rPr>
      </w:pPr>
    </w:p>
    <w:p w:rsidR="00576C27" w:rsidRPr="00576C27" w:rsidRDefault="00576C27" w:rsidP="00576C27">
      <w:pPr>
        <w:rPr>
          <w:rFonts w:ascii="Arial" w:hAnsi="Arial" w:cs="Arial"/>
          <w:b/>
          <w:sz w:val="24"/>
          <w:lang w:val="de-DE"/>
        </w:rPr>
      </w:pPr>
      <w:r w:rsidRPr="00576C27">
        <w:rPr>
          <w:rFonts w:ascii="Arial" w:hAnsi="Arial" w:cs="Arial"/>
          <w:b/>
          <w:sz w:val="24"/>
          <w:lang w:val="de-DE"/>
        </w:rPr>
        <w:t>Anschluss</w:t>
      </w:r>
    </w:p>
    <w:p w:rsidR="00370F07" w:rsidRPr="009B59CB" w:rsidRDefault="00576C27">
      <w:pPr>
        <w:rPr>
          <w:rFonts w:ascii="Arial" w:hAnsi="Arial" w:cs="Arial"/>
          <w:sz w:val="24"/>
          <w:lang w:val="de-DE"/>
        </w:rPr>
      </w:pPr>
      <w:r w:rsidRPr="00576C27">
        <w:rPr>
          <w:rFonts w:ascii="Arial" w:hAnsi="Arial" w:cs="Arial"/>
          <w:sz w:val="24"/>
          <w:lang w:val="de-DE"/>
        </w:rPr>
        <w:t>Geeignet für Hand- und Thermostatbetrieb, variable Anschlussmöglichkeit für Kupfer-, Stahl-, Kunststoff- und Metallverbundrohre, Anschlüsse: 4 x G 1/2 I.G. und 2 x G 3/4 A.G. unten mittig. Thermostatventil (werkseitig rechts oben eingedichtet) jederzeit auch nachträglich ohne Drehen des Heizkörpers und ohne Kreuzen von Vor- und Rücklauf</w:t>
      </w:r>
      <w:r w:rsidR="009B59CB">
        <w:rPr>
          <w:rFonts w:ascii="Arial" w:hAnsi="Arial" w:cs="Arial"/>
          <w:sz w:val="24"/>
          <w:lang w:val="de-DE"/>
        </w:rPr>
        <w:t xml:space="preserve"> </w:t>
      </w:r>
      <w:r w:rsidRPr="00576C27">
        <w:rPr>
          <w:rFonts w:ascii="Arial" w:hAnsi="Arial" w:cs="Arial"/>
          <w:sz w:val="24"/>
          <w:lang w:val="de-DE"/>
        </w:rPr>
        <w:t>problemlos auf links austauschbar.</w:t>
      </w:r>
    </w:p>
    <w:sectPr w:rsidR="00370F07" w:rsidRPr="009B59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C27"/>
    <w:rsid w:val="00370F07"/>
    <w:rsid w:val="00576C27"/>
    <w:rsid w:val="006A1E40"/>
    <w:rsid w:val="007F6B57"/>
    <w:rsid w:val="009B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6CCE2"/>
  <w15:docId w15:val="{4E9F3C1C-CFAF-4440-AF47-B0B6FF55D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Doris SCHNABL</cp:lastModifiedBy>
  <cp:revision>2</cp:revision>
  <dcterms:created xsi:type="dcterms:W3CDTF">2020-05-05T12:46:00Z</dcterms:created>
  <dcterms:modified xsi:type="dcterms:W3CDTF">2020-05-05T12:46:00Z</dcterms:modified>
</cp:coreProperties>
</file>