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787" w:rsidRPr="00C25787" w:rsidRDefault="00C25787" w:rsidP="00C25787">
      <w:pPr>
        <w:rPr>
          <w:rFonts w:ascii="Arial" w:hAnsi="Arial" w:cs="Arial"/>
          <w:b/>
          <w:sz w:val="24"/>
          <w:lang w:val="de-DE"/>
        </w:rPr>
      </w:pPr>
      <w:r>
        <w:rPr>
          <w:rFonts w:ascii="Arial" w:hAnsi="Arial" w:cs="Arial"/>
          <w:b/>
          <w:sz w:val="24"/>
          <w:lang w:val="de-DE"/>
        </w:rPr>
        <w:t xml:space="preserve">DESIGNHEIZKÖRPER </w:t>
      </w:r>
      <w:bookmarkStart w:id="0" w:name="_GoBack"/>
      <w:bookmarkEnd w:id="0"/>
      <w:r w:rsidRPr="00C25787">
        <w:rPr>
          <w:rFonts w:ascii="Arial" w:hAnsi="Arial" w:cs="Arial"/>
          <w:b/>
          <w:sz w:val="24"/>
          <w:lang w:val="de-DE"/>
        </w:rPr>
        <w:t xml:space="preserve">NEWA </w:t>
      </w:r>
    </w:p>
    <w:p w:rsidR="00C25787" w:rsidRPr="00C25787" w:rsidRDefault="00C25787" w:rsidP="00C25787">
      <w:pPr>
        <w:rPr>
          <w:rFonts w:ascii="Arial" w:hAnsi="Arial" w:cs="Arial"/>
          <w:sz w:val="24"/>
          <w:lang w:val="de-DE"/>
        </w:rPr>
      </w:pPr>
    </w:p>
    <w:p w:rsidR="00C25787" w:rsidRPr="00C25787" w:rsidRDefault="00C25787" w:rsidP="00C25787">
      <w:pPr>
        <w:rPr>
          <w:rFonts w:ascii="Arial" w:hAnsi="Arial" w:cs="Arial"/>
          <w:sz w:val="24"/>
          <w:lang w:val="de-AT"/>
        </w:rPr>
      </w:pPr>
      <w:r w:rsidRPr="00C25787">
        <w:rPr>
          <w:rFonts w:ascii="Arial" w:hAnsi="Arial" w:cs="Arial"/>
          <w:sz w:val="24"/>
          <w:lang w:val="de-AT"/>
        </w:rPr>
        <w:t>Der NEWA ist ein Designheizkörper mit Mittenanschluss. Er hat trotz Heizkörper und Frontpaneel eine sehr schmale Bauweise und weiche Konturen. Entscheidet man sich für die Standardausführung, werden Heizkörper und Frontpaneel in RAL 9016 Verkehrsweiß geliefert. Mit der Ausführung NEWA ELEGANCE können Heizkörper und Frontpaneel in verschiedenen RAL-, Sanitär- und Spezialfarben gestaltet werden. Der Heizkörper NEWA kann nicht verzinkt geliefert werden. Verpackt u. geliefert in Holzkiste.</w:t>
      </w:r>
    </w:p>
    <w:p w:rsidR="00C25787" w:rsidRPr="00C25787" w:rsidRDefault="00C25787" w:rsidP="00C25787">
      <w:pPr>
        <w:rPr>
          <w:rFonts w:ascii="Arial" w:hAnsi="Arial" w:cs="Arial"/>
          <w:b/>
          <w:bCs/>
          <w:sz w:val="24"/>
          <w:lang w:val="de-AT"/>
        </w:rPr>
      </w:pPr>
    </w:p>
    <w:p w:rsidR="00C25787" w:rsidRPr="00C25787" w:rsidRDefault="00C25787" w:rsidP="00C25787">
      <w:pPr>
        <w:rPr>
          <w:rFonts w:ascii="Arial" w:hAnsi="Arial" w:cs="Arial"/>
          <w:b/>
          <w:bCs/>
          <w:sz w:val="24"/>
          <w:lang w:val="de-AT"/>
        </w:rPr>
      </w:pPr>
      <w:r w:rsidRPr="00C25787">
        <w:rPr>
          <w:rFonts w:ascii="Arial" w:hAnsi="Arial" w:cs="Arial"/>
          <w:b/>
          <w:bCs/>
          <w:sz w:val="24"/>
          <w:lang w:val="de-AT"/>
        </w:rPr>
        <w:t xml:space="preserve">Ausführungen: </w:t>
      </w:r>
    </w:p>
    <w:p w:rsidR="00C25787" w:rsidRPr="00C25787" w:rsidRDefault="00C25787" w:rsidP="00C25787">
      <w:pPr>
        <w:rPr>
          <w:rFonts w:ascii="Arial" w:hAnsi="Arial" w:cs="Arial"/>
          <w:sz w:val="24"/>
          <w:lang w:val="de-AT"/>
        </w:rPr>
      </w:pPr>
      <w:r w:rsidRPr="00C25787">
        <w:rPr>
          <w:rFonts w:ascii="Arial" w:hAnsi="Arial" w:cs="Arial"/>
          <w:sz w:val="24"/>
          <w:lang w:val="de-AT"/>
        </w:rPr>
        <w:t>Typ 10</w:t>
      </w:r>
    </w:p>
    <w:p w:rsidR="00C25787" w:rsidRPr="00C25787" w:rsidRDefault="00C25787" w:rsidP="00C25787">
      <w:pPr>
        <w:rPr>
          <w:rFonts w:ascii="Arial" w:hAnsi="Arial" w:cs="Arial"/>
          <w:sz w:val="24"/>
          <w:lang w:val="de-AT"/>
        </w:rPr>
      </w:pPr>
      <w:r w:rsidRPr="00C25787">
        <w:rPr>
          <w:rFonts w:ascii="Arial" w:hAnsi="Arial" w:cs="Arial"/>
          <w:sz w:val="24"/>
          <w:lang w:val="de-AT"/>
        </w:rPr>
        <w:t xml:space="preserve">Bauhöhen: 1430, 1730 mm </w:t>
      </w:r>
      <w:r>
        <w:rPr>
          <w:rFonts w:ascii="Arial" w:hAnsi="Arial" w:cs="Arial"/>
          <w:sz w:val="24"/>
          <w:lang w:val="de-AT"/>
        </w:rPr>
        <w:br/>
      </w:r>
      <w:proofErr w:type="spellStart"/>
      <w:r w:rsidRPr="00C25787">
        <w:rPr>
          <w:rFonts w:ascii="Arial" w:hAnsi="Arial" w:cs="Arial"/>
          <w:sz w:val="24"/>
          <w:lang w:val="de-AT"/>
        </w:rPr>
        <w:t>Baulänge</w:t>
      </w:r>
      <w:proofErr w:type="spellEnd"/>
      <w:r w:rsidRPr="00C25787">
        <w:rPr>
          <w:rFonts w:ascii="Arial" w:hAnsi="Arial" w:cs="Arial"/>
          <w:sz w:val="24"/>
          <w:lang w:val="de-AT"/>
        </w:rPr>
        <w:t>: 514 mm</w:t>
      </w:r>
      <w:r>
        <w:rPr>
          <w:rFonts w:ascii="Arial" w:hAnsi="Arial" w:cs="Arial"/>
          <w:sz w:val="24"/>
          <w:lang w:val="de-AT"/>
        </w:rPr>
        <w:br/>
      </w:r>
      <w:proofErr w:type="spellStart"/>
      <w:r w:rsidRPr="00C25787">
        <w:rPr>
          <w:rFonts w:ascii="Arial" w:hAnsi="Arial" w:cs="Arial"/>
          <w:sz w:val="24"/>
          <w:lang w:val="de-AT"/>
        </w:rPr>
        <w:t>Bautiefe</w:t>
      </w:r>
      <w:proofErr w:type="spellEnd"/>
      <w:r w:rsidRPr="00C25787">
        <w:rPr>
          <w:rFonts w:ascii="Arial" w:hAnsi="Arial" w:cs="Arial"/>
          <w:sz w:val="24"/>
          <w:lang w:val="de-AT"/>
        </w:rPr>
        <w:t xml:space="preserve">: ~12mm (77-89mm) </w:t>
      </w:r>
    </w:p>
    <w:p w:rsidR="00C25787" w:rsidRPr="00C25787" w:rsidRDefault="00C25787" w:rsidP="00C25787">
      <w:pPr>
        <w:rPr>
          <w:rFonts w:ascii="Arial" w:hAnsi="Arial" w:cs="Arial"/>
          <w:sz w:val="24"/>
          <w:lang w:val="de-AT"/>
        </w:rPr>
      </w:pPr>
    </w:p>
    <w:p w:rsidR="00C25787" w:rsidRPr="00C25787" w:rsidRDefault="00C25787" w:rsidP="00C25787">
      <w:pPr>
        <w:rPr>
          <w:rFonts w:ascii="Arial" w:hAnsi="Arial" w:cs="Arial"/>
          <w:sz w:val="24"/>
          <w:lang w:val="de-AT"/>
        </w:rPr>
      </w:pPr>
      <w:r w:rsidRPr="00C25787">
        <w:rPr>
          <w:rFonts w:ascii="Arial" w:hAnsi="Arial" w:cs="Arial"/>
          <w:b/>
          <w:bCs/>
          <w:sz w:val="24"/>
          <w:lang w:val="de-AT"/>
        </w:rPr>
        <w:t xml:space="preserve">Betriebsüberdruck: </w:t>
      </w:r>
      <w:r w:rsidRPr="00C25787">
        <w:rPr>
          <w:rFonts w:ascii="Arial" w:hAnsi="Arial" w:cs="Arial"/>
          <w:sz w:val="24"/>
          <w:lang w:val="de-AT"/>
        </w:rPr>
        <w:t>6 bar</w:t>
      </w:r>
    </w:p>
    <w:p w:rsidR="00C25787" w:rsidRPr="00C25787" w:rsidRDefault="00C25787" w:rsidP="00C25787">
      <w:pPr>
        <w:rPr>
          <w:rFonts w:ascii="Arial" w:hAnsi="Arial" w:cs="Arial"/>
          <w:sz w:val="24"/>
          <w:lang w:val="de-AT"/>
        </w:rPr>
      </w:pPr>
      <w:r w:rsidRPr="00C25787">
        <w:rPr>
          <w:rFonts w:ascii="Arial" w:hAnsi="Arial" w:cs="Arial"/>
          <w:b/>
          <w:bCs/>
          <w:sz w:val="24"/>
          <w:lang w:val="de-AT"/>
        </w:rPr>
        <w:t xml:space="preserve">Prüfüberdruck: </w:t>
      </w:r>
      <w:r w:rsidRPr="00C25787">
        <w:rPr>
          <w:rFonts w:ascii="Arial" w:hAnsi="Arial" w:cs="Arial"/>
          <w:sz w:val="24"/>
          <w:lang w:val="de-AT"/>
        </w:rPr>
        <w:t>8 bar</w:t>
      </w:r>
    </w:p>
    <w:p w:rsidR="00C25787" w:rsidRPr="00C25787" w:rsidRDefault="00C25787" w:rsidP="00C25787">
      <w:pPr>
        <w:rPr>
          <w:rFonts w:ascii="Arial" w:hAnsi="Arial" w:cs="Arial"/>
          <w:b/>
          <w:bCs/>
          <w:sz w:val="24"/>
          <w:lang w:val="de-AT"/>
        </w:rPr>
      </w:pPr>
      <w:r w:rsidRPr="00C25787">
        <w:rPr>
          <w:rFonts w:ascii="Arial" w:hAnsi="Arial" w:cs="Arial"/>
          <w:b/>
          <w:bCs/>
          <w:sz w:val="24"/>
          <w:lang w:val="de-AT"/>
        </w:rPr>
        <w:t xml:space="preserve">Betriebstemperatur: </w:t>
      </w:r>
      <w:r w:rsidRPr="00C25787">
        <w:rPr>
          <w:rFonts w:ascii="Arial" w:hAnsi="Arial" w:cs="Arial"/>
          <w:sz w:val="24"/>
          <w:lang w:val="de-AT"/>
        </w:rPr>
        <w:t>100°C</w:t>
      </w:r>
    </w:p>
    <w:p w:rsidR="00C25787" w:rsidRPr="00C25787" w:rsidRDefault="00C25787" w:rsidP="00C25787">
      <w:pPr>
        <w:rPr>
          <w:rFonts w:ascii="Arial" w:hAnsi="Arial" w:cs="Arial"/>
          <w:b/>
          <w:bCs/>
          <w:sz w:val="24"/>
          <w:lang w:val="de-AT"/>
        </w:rPr>
      </w:pPr>
    </w:p>
    <w:p w:rsidR="00C25787" w:rsidRPr="00C25787" w:rsidRDefault="00C25787" w:rsidP="00C25787">
      <w:pPr>
        <w:rPr>
          <w:rFonts w:ascii="Arial" w:hAnsi="Arial" w:cs="Arial"/>
          <w:b/>
          <w:bCs/>
          <w:sz w:val="24"/>
          <w:lang w:val="de-AT"/>
        </w:rPr>
      </w:pPr>
      <w:r w:rsidRPr="00C25787">
        <w:rPr>
          <w:rFonts w:ascii="Arial" w:hAnsi="Arial" w:cs="Arial"/>
          <w:b/>
          <w:bCs/>
          <w:sz w:val="24"/>
          <w:lang w:val="de-AT"/>
        </w:rPr>
        <w:t>Anschlüsse:</w:t>
      </w:r>
    </w:p>
    <w:p w:rsidR="00C25787" w:rsidRPr="00C25787" w:rsidRDefault="00C25787" w:rsidP="00C25787">
      <w:pPr>
        <w:rPr>
          <w:rFonts w:ascii="Arial" w:hAnsi="Arial" w:cs="Arial"/>
          <w:sz w:val="24"/>
          <w:lang w:val="de-AT"/>
        </w:rPr>
      </w:pPr>
      <w:r w:rsidRPr="00C25787">
        <w:rPr>
          <w:rFonts w:ascii="Arial" w:hAnsi="Arial" w:cs="Arial"/>
          <w:sz w:val="24"/>
          <w:lang w:val="de-AT"/>
        </w:rPr>
        <w:t>Der Anschluss erfolgt über den Mittenanschluss:</w:t>
      </w:r>
    </w:p>
    <w:p w:rsidR="00C25787" w:rsidRPr="00C25787" w:rsidRDefault="00C25787" w:rsidP="00C25787">
      <w:pPr>
        <w:rPr>
          <w:rFonts w:ascii="Arial" w:hAnsi="Arial" w:cs="Arial"/>
          <w:sz w:val="24"/>
          <w:lang w:val="de-AT"/>
        </w:rPr>
      </w:pPr>
      <w:r w:rsidRPr="00C25787">
        <w:rPr>
          <w:rFonts w:ascii="Arial" w:hAnsi="Arial" w:cs="Arial"/>
          <w:sz w:val="24"/>
          <w:lang w:val="de-AT"/>
        </w:rPr>
        <w:t>2x G 1/2“IG (50mm) plus 4x G1/2“ IG, inklusive Blind- und Entlüftungsstopfen.</w:t>
      </w:r>
    </w:p>
    <w:p w:rsidR="00C25787" w:rsidRPr="00C25787" w:rsidRDefault="00C25787" w:rsidP="00C25787">
      <w:pPr>
        <w:rPr>
          <w:rFonts w:ascii="Arial" w:hAnsi="Arial" w:cs="Arial"/>
          <w:sz w:val="24"/>
          <w:lang w:val="de-AT"/>
        </w:rPr>
      </w:pPr>
      <w:r w:rsidRPr="00C25787">
        <w:rPr>
          <w:rFonts w:ascii="Arial" w:hAnsi="Arial" w:cs="Arial"/>
          <w:sz w:val="24"/>
          <w:lang w:val="de-AT"/>
        </w:rPr>
        <w:t xml:space="preserve">Ein- oder Zweirohr- System </w:t>
      </w:r>
    </w:p>
    <w:p w:rsidR="00C25787" w:rsidRPr="00C25787" w:rsidRDefault="00C25787" w:rsidP="00C25787">
      <w:pPr>
        <w:rPr>
          <w:rFonts w:ascii="Arial" w:hAnsi="Arial" w:cs="Arial"/>
          <w:b/>
          <w:bCs/>
          <w:sz w:val="24"/>
          <w:lang w:val="de-AT"/>
        </w:rPr>
      </w:pPr>
    </w:p>
    <w:p w:rsidR="00C25787" w:rsidRPr="00C25787" w:rsidRDefault="00C25787" w:rsidP="00C25787">
      <w:pPr>
        <w:rPr>
          <w:rFonts w:ascii="Arial" w:hAnsi="Arial" w:cs="Arial"/>
          <w:sz w:val="24"/>
          <w:lang w:val="de-AT"/>
        </w:rPr>
      </w:pPr>
      <w:r w:rsidRPr="00C25787">
        <w:rPr>
          <w:rFonts w:ascii="Arial" w:hAnsi="Arial" w:cs="Arial"/>
          <w:b/>
          <w:bCs/>
          <w:sz w:val="24"/>
          <w:lang w:val="de-AT"/>
        </w:rPr>
        <w:t>Befestigungsset</w:t>
      </w:r>
      <w:r w:rsidRPr="00C25787">
        <w:rPr>
          <w:rFonts w:ascii="Arial" w:hAnsi="Arial" w:cs="Arial"/>
          <w:sz w:val="24"/>
          <w:lang w:val="de-AT"/>
        </w:rPr>
        <w:t>:</w:t>
      </w:r>
    </w:p>
    <w:p w:rsidR="00C25787" w:rsidRPr="00C25787" w:rsidRDefault="00C25787" w:rsidP="00C25787">
      <w:pPr>
        <w:rPr>
          <w:rFonts w:ascii="Arial" w:hAnsi="Arial" w:cs="Arial"/>
          <w:sz w:val="24"/>
          <w:lang w:val="de-AT"/>
        </w:rPr>
      </w:pPr>
      <w:r w:rsidRPr="00C25787">
        <w:rPr>
          <w:rFonts w:ascii="Arial" w:hAnsi="Arial" w:cs="Arial"/>
          <w:sz w:val="24"/>
          <w:lang w:val="de-AT"/>
        </w:rPr>
        <w:t xml:space="preserve">Zur Montage der 4 </w:t>
      </w:r>
      <w:proofErr w:type="spellStart"/>
      <w:r w:rsidRPr="00C25787">
        <w:rPr>
          <w:rFonts w:ascii="Arial" w:hAnsi="Arial" w:cs="Arial"/>
          <w:sz w:val="24"/>
          <w:lang w:val="de-AT"/>
        </w:rPr>
        <w:t>Wandfüße</w:t>
      </w:r>
      <w:proofErr w:type="spellEnd"/>
      <w:r w:rsidRPr="00C25787">
        <w:rPr>
          <w:rFonts w:ascii="Arial" w:hAnsi="Arial" w:cs="Arial"/>
          <w:sz w:val="24"/>
          <w:lang w:val="de-AT"/>
        </w:rPr>
        <w:t xml:space="preserve"> müssen Bohrungen an der Wand vorgenommen werden.</w:t>
      </w:r>
    </w:p>
    <w:p w:rsidR="00C25787" w:rsidRPr="00C25787" w:rsidRDefault="00C25787" w:rsidP="00C25787">
      <w:pPr>
        <w:rPr>
          <w:rFonts w:ascii="Arial" w:hAnsi="Arial" w:cs="Arial"/>
          <w:sz w:val="24"/>
          <w:lang w:val="de-AT"/>
        </w:rPr>
      </w:pPr>
      <w:r w:rsidRPr="00C25787">
        <w:rPr>
          <w:rFonts w:ascii="Arial" w:hAnsi="Arial" w:cs="Arial"/>
          <w:sz w:val="24"/>
          <w:lang w:val="de-AT"/>
        </w:rPr>
        <w:t>Daraufhin werden die Montagestutzen mittels Senkrechtbohrung befestigt.</w:t>
      </w:r>
    </w:p>
    <w:p w:rsidR="00C25787" w:rsidRPr="00C25787" w:rsidRDefault="00C25787" w:rsidP="00C25787">
      <w:pPr>
        <w:rPr>
          <w:rFonts w:ascii="Arial" w:hAnsi="Arial" w:cs="Arial"/>
          <w:b/>
          <w:bCs/>
          <w:sz w:val="24"/>
          <w:lang w:val="de-AT"/>
        </w:rPr>
      </w:pPr>
    </w:p>
    <w:p w:rsidR="00C25787" w:rsidRDefault="00C25787" w:rsidP="00C25787">
      <w:pPr>
        <w:rPr>
          <w:rFonts w:ascii="Arial" w:hAnsi="Arial" w:cs="Arial"/>
          <w:b/>
          <w:bCs/>
          <w:sz w:val="24"/>
          <w:lang w:val="de-AT"/>
        </w:rPr>
      </w:pPr>
    </w:p>
    <w:p w:rsidR="00C25787" w:rsidRPr="00C25787" w:rsidRDefault="00C25787" w:rsidP="00C25787">
      <w:pPr>
        <w:rPr>
          <w:rFonts w:ascii="Arial" w:hAnsi="Arial" w:cs="Arial"/>
          <w:b/>
          <w:bCs/>
          <w:sz w:val="24"/>
          <w:lang w:val="de-AT"/>
        </w:rPr>
      </w:pPr>
    </w:p>
    <w:p w:rsidR="00C25787" w:rsidRPr="00C25787" w:rsidRDefault="00C25787" w:rsidP="00C25787">
      <w:pPr>
        <w:rPr>
          <w:rFonts w:ascii="Arial" w:hAnsi="Arial" w:cs="Arial"/>
          <w:b/>
          <w:bCs/>
          <w:sz w:val="24"/>
          <w:lang w:val="de-AT"/>
        </w:rPr>
      </w:pPr>
      <w:r w:rsidRPr="00C25787">
        <w:rPr>
          <w:rFonts w:ascii="Arial" w:hAnsi="Arial" w:cs="Arial"/>
          <w:b/>
          <w:bCs/>
          <w:sz w:val="24"/>
          <w:lang w:val="de-AT"/>
        </w:rPr>
        <w:lastRenderedPageBreak/>
        <w:t>Nicht Inkludiertes:</w:t>
      </w:r>
    </w:p>
    <w:p w:rsidR="00C25787" w:rsidRPr="00C25787" w:rsidRDefault="00C25787" w:rsidP="00C25787">
      <w:pPr>
        <w:rPr>
          <w:rFonts w:ascii="Arial" w:hAnsi="Arial" w:cs="Arial"/>
          <w:sz w:val="24"/>
          <w:lang w:val="de-AT"/>
        </w:rPr>
      </w:pPr>
      <w:r w:rsidRPr="00C25787">
        <w:rPr>
          <w:rFonts w:ascii="Arial" w:hAnsi="Arial" w:cs="Arial"/>
          <w:sz w:val="24"/>
          <w:lang w:val="de-AT"/>
        </w:rPr>
        <w:t>Handtuchhalter (Standardausführung RAL 9016 oder RAL-, Sanitär- und Spezialfarben):</w:t>
      </w:r>
    </w:p>
    <w:p w:rsidR="00C25787" w:rsidRPr="00C25787" w:rsidRDefault="00C25787" w:rsidP="00C25787">
      <w:pPr>
        <w:rPr>
          <w:rFonts w:ascii="Arial" w:hAnsi="Arial" w:cs="Arial"/>
          <w:sz w:val="24"/>
          <w:lang w:val="de-AT"/>
        </w:rPr>
      </w:pPr>
      <w:r w:rsidRPr="00C25787">
        <w:rPr>
          <w:rFonts w:ascii="Arial" w:hAnsi="Arial" w:cs="Arial"/>
          <w:b/>
          <w:bCs/>
          <w:sz w:val="24"/>
          <w:lang w:val="de-AT"/>
        </w:rPr>
        <w:t xml:space="preserve">- </w:t>
      </w:r>
      <w:r w:rsidRPr="00C25787">
        <w:rPr>
          <w:rFonts w:ascii="Arial" w:hAnsi="Arial" w:cs="Arial"/>
          <w:sz w:val="24"/>
          <w:lang w:val="de-AT"/>
        </w:rPr>
        <w:t>geschlossener Bügel</w:t>
      </w:r>
    </w:p>
    <w:p w:rsidR="00C25787" w:rsidRPr="00C25787" w:rsidRDefault="00C25787" w:rsidP="00C25787">
      <w:pPr>
        <w:rPr>
          <w:rFonts w:ascii="Arial" w:hAnsi="Arial" w:cs="Arial"/>
          <w:sz w:val="24"/>
          <w:lang w:val="de-AT"/>
        </w:rPr>
      </w:pPr>
      <w:r w:rsidRPr="00C25787">
        <w:rPr>
          <w:rFonts w:ascii="Arial" w:hAnsi="Arial" w:cs="Arial"/>
          <w:b/>
          <w:bCs/>
          <w:sz w:val="24"/>
          <w:lang w:val="de-AT"/>
        </w:rPr>
        <w:t xml:space="preserve">- </w:t>
      </w:r>
      <w:r w:rsidRPr="00C25787">
        <w:rPr>
          <w:rFonts w:ascii="Arial" w:hAnsi="Arial" w:cs="Arial"/>
          <w:sz w:val="24"/>
          <w:lang w:val="de-AT"/>
        </w:rPr>
        <w:t>offener Bügel</w:t>
      </w:r>
    </w:p>
    <w:p w:rsidR="00C25787" w:rsidRPr="00C25787" w:rsidRDefault="00C25787" w:rsidP="00C25787">
      <w:pPr>
        <w:rPr>
          <w:rFonts w:ascii="Arial" w:hAnsi="Arial" w:cs="Arial"/>
          <w:sz w:val="24"/>
          <w:lang w:val="de-AT"/>
        </w:rPr>
      </w:pPr>
      <w:r w:rsidRPr="00C25787">
        <w:rPr>
          <w:rFonts w:ascii="Arial" w:hAnsi="Arial" w:cs="Arial"/>
          <w:sz w:val="24"/>
          <w:lang w:val="de-AT"/>
        </w:rPr>
        <w:t>Es können bis zu 3 Handtuchhalter an den dafür vorgesehenen Punkten montiert werden.</w:t>
      </w:r>
    </w:p>
    <w:p w:rsidR="00C25787" w:rsidRPr="00C25787" w:rsidRDefault="00C25787" w:rsidP="00C25787">
      <w:pPr>
        <w:rPr>
          <w:rFonts w:ascii="Arial" w:hAnsi="Arial" w:cs="Arial"/>
          <w:sz w:val="24"/>
          <w:lang w:val="de-AT"/>
        </w:rPr>
      </w:pPr>
      <w:r w:rsidRPr="00C25787">
        <w:rPr>
          <w:rFonts w:ascii="Arial" w:hAnsi="Arial" w:cs="Arial"/>
          <w:sz w:val="24"/>
          <w:lang w:val="de-AT"/>
        </w:rPr>
        <w:t>Auch nachrüstbar ohne Heizkörperdemontage.</w:t>
      </w:r>
    </w:p>
    <w:p w:rsidR="00C25787" w:rsidRPr="00C25787" w:rsidRDefault="00C25787" w:rsidP="00C25787">
      <w:pPr>
        <w:rPr>
          <w:rFonts w:ascii="Arial" w:hAnsi="Arial" w:cs="Arial"/>
          <w:b/>
          <w:bCs/>
          <w:sz w:val="24"/>
          <w:lang w:val="de-AT"/>
        </w:rPr>
      </w:pPr>
    </w:p>
    <w:p w:rsidR="00C25787" w:rsidRPr="00C25787" w:rsidRDefault="00C25787" w:rsidP="00C25787">
      <w:pPr>
        <w:rPr>
          <w:rFonts w:ascii="Arial" w:hAnsi="Arial" w:cs="Arial"/>
          <w:b/>
          <w:bCs/>
          <w:sz w:val="24"/>
          <w:lang w:val="de-AT"/>
        </w:rPr>
      </w:pPr>
      <w:r w:rsidRPr="00C25787">
        <w:rPr>
          <w:rFonts w:ascii="Arial" w:hAnsi="Arial" w:cs="Arial"/>
          <w:b/>
          <w:bCs/>
          <w:sz w:val="24"/>
          <w:lang w:val="de-AT"/>
        </w:rPr>
        <w:t>Inkludiertes:</w:t>
      </w:r>
    </w:p>
    <w:p w:rsidR="00C25787" w:rsidRPr="00C25787" w:rsidRDefault="00C25787" w:rsidP="00C25787">
      <w:pPr>
        <w:rPr>
          <w:rFonts w:ascii="Arial" w:hAnsi="Arial" w:cs="Arial"/>
          <w:sz w:val="24"/>
          <w:lang w:val="de-AT"/>
        </w:rPr>
      </w:pPr>
      <w:r w:rsidRPr="00C25787">
        <w:rPr>
          <w:rFonts w:ascii="Arial" w:hAnsi="Arial" w:cs="Arial"/>
          <w:b/>
          <w:bCs/>
          <w:sz w:val="24"/>
          <w:lang w:val="de-AT"/>
        </w:rPr>
        <w:t xml:space="preserve">- </w:t>
      </w:r>
      <w:r w:rsidRPr="00C25787">
        <w:rPr>
          <w:rFonts w:ascii="Arial" w:hAnsi="Arial" w:cs="Arial"/>
          <w:sz w:val="24"/>
          <w:lang w:val="de-AT"/>
        </w:rPr>
        <w:t>Blindstopfen ½“</w:t>
      </w:r>
    </w:p>
    <w:p w:rsidR="00C25787" w:rsidRPr="00C25787" w:rsidRDefault="00C25787" w:rsidP="00C25787">
      <w:pPr>
        <w:rPr>
          <w:rFonts w:ascii="Arial" w:hAnsi="Arial" w:cs="Arial"/>
          <w:sz w:val="24"/>
          <w:lang w:val="de-AT"/>
        </w:rPr>
      </w:pPr>
      <w:r w:rsidRPr="00C25787">
        <w:rPr>
          <w:rFonts w:ascii="Arial" w:hAnsi="Arial" w:cs="Arial"/>
          <w:b/>
          <w:bCs/>
          <w:sz w:val="24"/>
          <w:lang w:val="de-AT"/>
        </w:rPr>
        <w:t xml:space="preserve">- </w:t>
      </w:r>
      <w:r w:rsidRPr="00C25787">
        <w:rPr>
          <w:rFonts w:ascii="Arial" w:hAnsi="Arial" w:cs="Arial"/>
          <w:sz w:val="24"/>
          <w:lang w:val="de-AT"/>
        </w:rPr>
        <w:t>Entlüftungsstopfen ½“</w:t>
      </w:r>
    </w:p>
    <w:p w:rsidR="00C25787" w:rsidRPr="00C25787" w:rsidRDefault="00C25787" w:rsidP="00C25787">
      <w:pPr>
        <w:rPr>
          <w:rFonts w:ascii="Arial" w:hAnsi="Arial" w:cs="Arial"/>
          <w:sz w:val="24"/>
          <w:lang w:val="de-AT"/>
        </w:rPr>
      </w:pPr>
      <w:r w:rsidRPr="00C25787">
        <w:rPr>
          <w:rFonts w:ascii="Arial" w:hAnsi="Arial" w:cs="Arial"/>
          <w:b/>
          <w:bCs/>
          <w:sz w:val="24"/>
          <w:lang w:val="de-AT"/>
        </w:rPr>
        <w:t xml:space="preserve">- </w:t>
      </w:r>
      <w:r w:rsidRPr="00C25787">
        <w:rPr>
          <w:rFonts w:ascii="Arial" w:hAnsi="Arial" w:cs="Arial"/>
          <w:sz w:val="24"/>
          <w:lang w:val="de-AT"/>
        </w:rPr>
        <w:t>4-teilige Wandbefestigung</w:t>
      </w:r>
    </w:p>
    <w:p w:rsidR="00C25787" w:rsidRPr="00C25787" w:rsidRDefault="00C25787" w:rsidP="00C25787">
      <w:pPr>
        <w:rPr>
          <w:rFonts w:ascii="Arial" w:hAnsi="Arial" w:cs="Arial"/>
          <w:sz w:val="24"/>
          <w:lang w:val="de-DE"/>
        </w:rPr>
      </w:pPr>
      <w:r w:rsidRPr="00C25787">
        <w:rPr>
          <w:rFonts w:ascii="Arial" w:hAnsi="Arial" w:cs="Arial"/>
          <w:b/>
          <w:bCs/>
          <w:sz w:val="24"/>
          <w:lang w:val="de-AT"/>
        </w:rPr>
        <w:t xml:space="preserve">- </w:t>
      </w:r>
      <w:r w:rsidRPr="00C25787">
        <w:rPr>
          <w:rFonts w:ascii="Arial" w:hAnsi="Arial" w:cs="Arial"/>
          <w:sz w:val="24"/>
          <w:lang w:val="de-AT"/>
        </w:rPr>
        <w:t>Ventil- Anschlussarmaturen  (</w:t>
      </w:r>
      <w:proofErr w:type="spellStart"/>
      <w:r w:rsidRPr="00C25787">
        <w:rPr>
          <w:rFonts w:ascii="Arial" w:hAnsi="Arial" w:cs="Arial"/>
          <w:sz w:val="24"/>
          <w:lang w:val="de-AT"/>
        </w:rPr>
        <w:t>Zweirohr</w:t>
      </w:r>
      <w:proofErr w:type="spellEnd"/>
      <w:r w:rsidRPr="00C25787">
        <w:rPr>
          <w:rFonts w:ascii="Arial" w:hAnsi="Arial" w:cs="Arial"/>
          <w:sz w:val="24"/>
          <w:lang w:val="de-AT"/>
        </w:rPr>
        <w:t>)</w:t>
      </w:r>
    </w:p>
    <w:p w:rsidR="006B137C" w:rsidRPr="00C25787" w:rsidRDefault="006B137C">
      <w:pPr>
        <w:rPr>
          <w:rFonts w:ascii="Arial" w:hAnsi="Arial" w:cs="Arial"/>
          <w:sz w:val="24"/>
          <w:lang w:val="de-DE"/>
        </w:rPr>
      </w:pPr>
    </w:p>
    <w:sectPr w:rsidR="006B137C" w:rsidRPr="00C25787" w:rsidSect="004877FE">
      <w:headerReference w:type="default" r:id="rId5"/>
      <w:pgSz w:w="11970" w:h="16929"/>
      <w:pgMar w:top="1140" w:right="1140" w:bottom="1140" w:left="1140"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3B6" w:rsidRDefault="00C25787">
    <w:pPr>
      <w:rPr>
        <w:sz w:val="18"/>
      </w:rPr>
    </w:pPr>
  </w:p>
  <w:p w:rsidR="009003B6" w:rsidRDefault="00C25787">
    <w:pPr>
      <w:rPr>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787"/>
    <w:rsid w:val="006B137C"/>
    <w:rsid w:val="00C25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74702D7</Template>
  <TotalTime>0</TotalTime>
  <Pages>2</Pages>
  <Words>210</Words>
  <Characters>1203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2018-08-29T09:08:00Z</dcterms:created>
  <dcterms:modified xsi:type="dcterms:W3CDTF">2018-08-29T09:09:00Z</dcterms:modified>
</cp:coreProperties>
</file>